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75" w:rsidRDefault="002C5C75" w:rsidP="002C5C75">
      <w:pPr>
        <w:pStyle w:val="Heading1"/>
        <w:spacing w:before="0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2020 Department of Surgery Research Day</w:t>
      </w:r>
      <w:r w:rsidR="00EF4F25">
        <w:rPr>
          <w:b/>
          <w:color w:val="auto"/>
        </w:rPr>
        <w:t xml:space="preserve"> – Part 1</w:t>
      </w:r>
    </w:p>
    <w:p w:rsidR="00D7434D" w:rsidRDefault="002C5C75" w:rsidP="002C5C75">
      <w:pPr>
        <w:jc w:val="center"/>
        <w:rPr>
          <w:b/>
        </w:rPr>
      </w:pPr>
      <w:r w:rsidRPr="00827111">
        <w:rPr>
          <w:b/>
        </w:rPr>
        <w:t>Basic &amp; Translational Abstract Scores</w:t>
      </w:r>
      <w:r w:rsidR="00301B66">
        <w:rPr>
          <w:b/>
        </w:rPr>
        <w:t xml:space="preserve"> - </w:t>
      </w:r>
      <w:proofErr w:type="spellStart"/>
      <w:r w:rsidR="00F0601F">
        <w:rPr>
          <w:b/>
        </w:rPr>
        <w:t>Klatt</w:t>
      </w:r>
      <w:proofErr w:type="spellEnd"/>
    </w:p>
    <w:p w:rsidR="002C5C75" w:rsidRDefault="002C5C75" w:rsidP="00301B66">
      <w:pPr>
        <w:spacing w:after="0"/>
      </w:pPr>
      <w:r>
        <w:t>Julia Nugent</w:t>
      </w:r>
      <w:r w:rsidR="00EF4F25">
        <w:t xml:space="preserve"> - </w:t>
      </w:r>
      <w:r w:rsidR="00EF4F25" w:rsidRPr="00EF4F25">
        <w:t>Laparoscopic vertical sleeve gastrectomy in nonhuman primates polarizes omental immune cells towards a regulatory phenotype and shifts the microbiome and microbial metabolites</w:t>
      </w:r>
    </w:p>
    <w:tbl>
      <w:tblPr>
        <w:tblW w:w="93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5"/>
        <w:gridCol w:w="630"/>
        <w:gridCol w:w="630"/>
        <w:gridCol w:w="630"/>
        <w:gridCol w:w="630"/>
        <w:gridCol w:w="630"/>
      </w:tblGrid>
      <w:tr w:rsidR="002C5C75" w:rsidRPr="00827111" w:rsidTr="00301B66">
        <w:trPr>
          <w:cantSplit/>
          <w:trHeight w:val="315"/>
          <w:jc w:val="right"/>
        </w:trPr>
        <w:tc>
          <w:tcPr>
            <w:tcW w:w="6225" w:type="dxa"/>
            <w:tcBorders>
              <w:right w:val="single" w:sz="4" w:space="0" w:color="FFFFFF"/>
            </w:tcBorders>
            <w:vAlign w:val="center"/>
          </w:tcPr>
          <w:p w:rsidR="002C5C75" w:rsidRPr="00827111" w:rsidRDefault="002C5C75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FFFFFF"/>
            </w:tcBorders>
            <w:vAlign w:val="center"/>
          </w:tcPr>
          <w:p w:rsidR="002C5C75" w:rsidRPr="00827111" w:rsidRDefault="002C5C75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HIGH</w:t>
            </w: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C5C75" w:rsidRPr="00827111" w:rsidRDefault="002C5C75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2C5C75" w:rsidRPr="00827111" w:rsidRDefault="002C5C75" w:rsidP="00301B66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LOW</w:t>
            </w:r>
          </w:p>
        </w:tc>
      </w:tr>
      <w:tr w:rsidR="002C5C75" w:rsidRPr="00827111" w:rsidTr="00301B66">
        <w:trPr>
          <w:cantSplit/>
          <w:trHeight w:val="360"/>
          <w:jc w:val="right"/>
        </w:trPr>
        <w:tc>
          <w:tcPr>
            <w:tcW w:w="6225" w:type="dxa"/>
            <w:vAlign w:val="center"/>
          </w:tcPr>
          <w:p w:rsidR="002C5C75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CATEGORY</w:t>
            </w:r>
          </w:p>
        </w:tc>
        <w:tc>
          <w:tcPr>
            <w:tcW w:w="630" w:type="dxa"/>
            <w:vAlign w:val="center"/>
          </w:tcPr>
          <w:p w:rsidR="002C5C75" w:rsidRPr="00827111" w:rsidRDefault="002C5C75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630" w:type="dxa"/>
            <w:vAlign w:val="center"/>
          </w:tcPr>
          <w:p w:rsidR="002C5C75" w:rsidRPr="00827111" w:rsidRDefault="002C5C75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630" w:type="dxa"/>
            <w:vAlign w:val="center"/>
          </w:tcPr>
          <w:p w:rsidR="002C5C75" w:rsidRPr="00827111" w:rsidRDefault="002C5C75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:rsidR="002C5C75" w:rsidRPr="00827111" w:rsidRDefault="002C5C75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630" w:type="dxa"/>
            <w:vAlign w:val="center"/>
          </w:tcPr>
          <w:p w:rsidR="002C5C75" w:rsidRPr="00827111" w:rsidRDefault="002C5C75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5</w:t>
            </w:r>
          </w:p>
        </w:tc>
      </w:tr>
      <w:tr w:rsidR="00301B66" w:rsidRPr="00827111" w:rsidTr="00301B66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Clarity </w:t>
            </w:r>
            <w:r w:rsidRPr="00506E61">
              <w:rPr>
                <w:rFonts w:cstheme="minorHAnsi"/>
                <w:sz w:val="20"/>
              </w:rPr>
              <w:t>(including: organization</w:t>
            </w:r>
            <w:r>
              <w:rPr>
                <w:rFonts w:cstheme="minorHAnsi"/>
                <w:sz w:val="20"/>
              </w:rPr>
              <w:t>,</w:t>
            </w:r>
            <w:r w:rsidRPr="002C5C75">
              <w:rPr>
                <w:rFonts w:cstheme="minorHAnsi"/>
                <w:sz w:val="20"/>
              </w:rPr>
              <w:t xml:space="preserve"> clearly stated significance,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506E61">
              <w:rPr>
                <w:rFonts w:cstheme="minorHAnsi"/>
                <w:sz w:val="20"/>
              </w:rPr>
              <w:t>good pacing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301B66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506E61">
              <w:rPr>
                <w:rFonts w:cstheme="minorHAnsi"/>
                <w:b/>
                <w:sz w:val="20"/>
              </w:rPr>
              <w:t>Content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research design &amp; methods, clear conclusion, limitations)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301B66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EF4F25">
              <w:rPr>
                <w:rFonts w:cstheme="minorHAnsi"/>
                <w:b/>
                <w:sz w:val="20"/>
              </w:rPr>
              <w:t>Graphic Abstract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clear message, easy to understand, enhances talk)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301B66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2C5C75">
              <w:rPr>
                <w:rFonts w:cstheme="minorHAnsi"/>
                <w:b/>
                <w:sz w:val="20"/>
              </w:rPr>
              <w:t>Question Answering</w:t>
            </w:r>
            <w:r>
              <w:rPr>
                <w:rFonts w:cstheme="minorHAnsi"/>
                <w:sz w:val="20"/>
              </w:rPr>
              <w:t xml:space="preserve"> (understands questions and thoroughly responds)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2C5C75" w:rsidRDefault="002C5C75" w:rsidP="00301B66">
      <w:pPr>
        <w:spacing w:after="0"/>
      </w:pPr>
    </w:p>
    <w:p w:rsidR="002C5C75" w:rsidRDefault="002C5C75" w:rsidP="00301B66">
      <w:pPr>
        <w:spacing w:after="0"/>
      </w:pPr>
      <w:proofErr w:type="spellStart"/>
      <w:r>
        <w:t>Hawa</w:t>
      </w:r>
      <w:proofErr w:type="spellEnd"/>
      <w:r>
        <w:t xml:space="preserve"> Ali</w:t>
      </w:r>
      <w:r w:rsidR="00EF4F25">
        <w:t xml:space="preserve"> - </w:t>
      </w:r>
      <w:r w:rsidR="00EF4F25" w:rsidRPr="00EF4F25">
        <w:t xml:space="preserve">Safety and Clinical Outcomes of Using Low </w:t>
      </w:r>
      <w:proofErr w:type="spellStart"/>
      <w:r w:rsidR="00EF4F25" w:rsidRPr="00EF4F25">
        <w:t>MolecularWeight</w:t>
      </w:r>
      <w:proofErr w:type="spellEnd"/>
      <w:r w:rsidR="00EF4F25" w:rsidRPr="00EF4F25">
        <w:t xml:space="preserve"> Dextran </w:t>
      </w:r>
      <w:proofErr w:type="gramStart"/>
      <w:r w:rsidR="00EF4F25" w:rsidRPr="00EF4F25">
        <w:t>During</w:t>
      </w:r>
      <w:proofErr w:type="gramEnd"/>
      <w:r w:rsidR="00EF4F25" w:rsidRPr="00EF4F25">
        <w:t xml:space="preserve"> Islet </w:t>
      </w:r>
      <w:proofErr w:type="spellStart"/>
      <w:r w:rsidR="00EF4F25" w:rsidRPr="00EF4F25">
        <w:t>Autotransplantation</w:t>
      </w:r>
      <w:proofErr w:type="spellEnd"/>
      <w:r w:rsidR="00EF4F25" w:rsidRPr="00EF4F25">
        <w:t xml:space="preserve"> in Children</w:t>
      </w:r>
    </w:p>
    <w:tbl>
      <w:tblPr>
        <w:tblW w:w="93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5"/>
        <w:gridCol w:w="630"/>
        <w:gridCol w:w="630"/>
        <w:gridCol w:w="630"/>
        <w:gridCol w:w="630"/>
        <w:gridCol w:w="630"/>
      </w:tblGrid>
      <w:tr w:rsidR="00301B66" w:rsidRPr="00827111" w:rsidTr="00587AF5">
        <w:trPr>
          <w:cantSplit/>
          <w:trHeight w:val="315"/>
          <w:jc w:val="right"/>
        </w:trPr>
        <w:tc>
          <w:tcPr>
            <w:tcW w:w="6225" w:type="dxa"/>
            <w:tcBorders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HIGH</w:t>
            </w: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LOW</w:t>
            </w:r>
          </w:p>
        </w:tc>
      </w:tr>
      <w:tr w:rsidR="00301B66" w:rsidRPr="00827111" w:rsidTr="00587AF5">
        <w:trPr>
          <w:cantSplit/>
          <w:trHeight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CATEGORY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5</w:t>
            </w: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Clarity </w:t>
            </w:r>
            <w:r w:rsidRPr="00506E61">
              <w:rPr>
                <w:rFonts w:cstheme="minorHAnsi"/>
                <w:sz w:val="20"/>
              </w:rPr>
              <w:t>(including: organization</w:t>
            </w:r>
            <w:r>
              <w:rPr>
                <w:rFonts w:cstheme="minorHAnsi"/>
                <w:sz w:val="20"/>
              </w:rPr>
              <w:t>,</w:t>
            </w:r>
            <w:r w:rsidRPr="002C5C75">
              <w:rPr>
                <w:rFonts w:cstheme="minorHAnsi"/>
                <w:sz w:val="20"/>
              </w:rPr>
              <w:t xml:space="preserve"> clearly stated significance,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506E61">
              <w:rPr>
                <w:rFonts w:cstheme="minorHAnsi"/>
                <w:sz w:val="20"/>
              </w:rPr>
              <w:t>good pacing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506E61">
              <w:rPr>
                <w:rFonts w:cstheme="minorHAnsi"/>
                <w:b/>
                <w:sz w:val="20"/>
              </w:rPr>
              <w:t>Content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research design &amp; methods, clear conclusion, limitations)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EF4F25">
              <w:rPr>
                <w:rFonts w:cstheme="minorHAnsi"/>
                <w:b/>
                <w:sz w:val="20"/>
              </w:rPr>
              <w:t>Graphic Abstract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clear message, easy to understand, enhances talk)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2C5C75">
              <w:rPr>
                <w:rFonts w:cstheme="minorHAnsi"/>
                <w:b/>
                <w:sz w:val="20"/>
              </w:rPr>
              <w:t>Question Answering</w:t>
            </w:r>
            <w:r>
              <w:rPr>
                <w:rFonts w:cstheme="minorHAnsi"/>
                <w:sz w:val="20"/>
              </w:rPr>
              <w:t xml:space="preserve"> (understands questions and thoroughly responds)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301B66" w:rsidRDefault="00301B66" w:rsidP="00301B66">
      <w:pPr>
        <w:spacing w:after="0"/>
      </w:pPr>
    </w:p>
    <w:p w:rsidR="002C5C75" w:rsidRDefault="002C5C75" w:rsidP="00301B66">
      <w:pPr>
        <w:spacing w:after="0"/>
      </w:pPr>
      <w:proofErr w:type="spellStart"/>
      <w:r>
        <w:t>Xianda</w:t>
      </w:r>
      <w:proofErr w:type="spellEnd"/>
      <w:r>
        <w:t xml:space="preserve"> Zhao</w:t>
      </w:r>
      <w:r w:rsidR="00EF4F25">
        <w:t xml:space="preserve"> - </w:t>
      </w:r>
      <w:r w:rsidR="00EF4F25" w:rsidRPr="00EF4F25">
        <w:t xml:space="preserve">Tumor secreted extracellular vesicles regulate T-cell </w:t>
      </w:r>
      <w:proofErr w:type="spellStart"/>
      <w:r w:rsidR="00EF4F25" w:rsidRPr="00EF4F25">
        <w:t>costimulation</w:t>
      </w:r>
      <w:proofErr w:type="spellEnd"/>
      <w:r w:rsidR="00EF4F25" w:rsidRPr="00EF4F25">
        <w:t xml:space="preserve"> and </w:t>
      </w:r>
      <w:proofErr w:type="gramStart"/>
      <w:r w:rsidR="00EF4F25" w:rsidRPr="00EF4F25">
        <w:t>can be manipulated</w:t>
      </w:r>
      <w:proofErr w:type="gramEnd"/>
      <w:r w:rsidR="00EF4F25" w:rsidRPr="00EF4F25">
        <w:t xml:space="preserve"> to induce tumor specific T-cell responses</w:t>
      </w:r>
    </w:p>
    <w:tbl>
      <w:tblPr>
        <w:tblW w:w="93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5"/>
        <w:gridCol w:w="630"/>
        <w:gridCol w:w="630"/>
        <w:gridCol w:w="630"/>
        <w:gridCol w:w="630"/>
        <w:gridCol w:w="630"/>
      </w:tblGrid>
      <w:tr w:rsidR="00301B66" w:rsidRPr="00827111" w:rsidTr="00587AF5">
        <w:trPr>
          <w:cantSplit/>
          <w:trHeight w:val="315"/>
          <w:jc w:val="right"/>
        </w:trPr>
        <w:tc>
          <w:tcPr>
            <w:tcW w:w="6225" w:type="dxa"/>
            <w:tcBorders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HIGH</w:t>
            </w: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LOW</w:t>
            </w:r>
          </w:p>
        </w:tc>
      </w:tr>
      <w:tr w:rsidR="00301B66" w:rsidRPr="00827111" w:rsidTr="00587AF5">
        <w:trPr>
          <w:cantSplit/>
          <w:trHeight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CATEGORY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5</w:t>
            </w: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Clarity </w:t>
            </w:r>
            <w:r w:rsidRPr="00506E61">
              <w:rPr>
                <w:rFonts w:cstheme="minorHAnsi"/>
                <w:sz w:val="20"/>
              </w:rPr>
              <w:t>(including: organization</w:t>
            </w:r>
            <w:r>
              <w:rPr>
                <w:rFonts w:cstheme="minorHAnsi"/>
                <w:sz w:val="20"/>
              </w:rPr>
              <w:t>,</w:t>
            </w:r>
            <w:r w:rsidRPr="002C5C75">
              <w:rPr>
                <w:rFonts w:cstheme="minorHAnsi"/>
                <w:sz w:val="20"/>
              </w:rPr>
              <w:t xml:space="preserve"> clearly stated significance,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506E61">
              <w:rPr>
                <w:rFonts w:cstheme="minorHAnsi"/>
                <w:sz w:val="20"/>
              </w:rPr>
              <w:t>good pacing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506E61">
              <w:rPr>
                <w:rFonts w:cstheme="minorHAnsi"/>
                <w:b/>
                <w:sz w:val="20"/>
              </w:rPr>
              <w:t>Content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research design &amp; methods, clear conclusion, limitations)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EF4F25">
              <w:rPr>
                <w:rFonts w:cstheme="minorHAnsi"/>
                <w:b/>
                <w:sz w:val="20"/>
              </w:rPr>
              <w:t>Graphic Abstract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clear message, easy to understand, enhances talk)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2C5C75">
              <w:rPr>
                <w:rFonts w:cstheme="minorHAnsi"/>
                <w:b/>
                <w:sz w:val="20"/>
              </w:rPr>
              <w:t>Question Answering</w:t>
            </w:r>
            <w:r>
              <w:rPr>
                <w:rFonts w:cstheme="minorHAnsi"/>
                <w:sz w:val="20"/>
              </w:rPr>
              <w:t xml:space="preserve"> (understands questions and thoroughly responds)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301B66" w:rsidRDefault="00301B66" w:rsidP="00301B66">
      <w:pPr>
        <w:spacing w:after="0"/>
      </w:pPr>
    </w:p>
    <w:p w:rsidR="002C5C75" w:rsidRDefault="002C5C75" w:rsidP="00301B66">
      <w:pPr>
        <w:spacing w:after="0"/>
      </w:pPr>
      <w:r>
        <w:t>Steven Qi</w:t>
      </w:r>
      <w:r w:rsidR="00EF4F25">
        <w:t xml:space="preserve"> - </w:t>
      </w:r>
      <w:r w:rsidR="00EF4F25" w:rsidRPr="00EF4F25">
        <w:t>Diastolic abnormalities are evident on MRI in a swine model of chronic myocardial ischemia and are not completely normalized with surgical revascularization</w:t>
      </w:r>
    </w:p>
    <w:tbl>
      <w:tblPr>
        <w:tblW w:w="93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5"/>
        <w:gridCol w:w="630"/>
        <w:gridCol w:w="630"/>
        <w:gridCol w:w="630"/>
        <w:gridCol w:w="630"/>
        <w:gridCol w:w="630"/>
      </w:tblGrid>
      <w:tr w:rsidR="00301B66" w:rsidRPr="00827111" w:rsidTr="00587AF5">
        <w:trPr>
          <w:cantSplit/>
          <w:trHeight w:val="315"/>
          <w:jc w:val="right"/>
        </w:trPr>
        <w:tc>
          <w:tcPr>
            <w:tcW w:w="6225" w:type="dxa"/>
            <w:tcBorders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HIGH</w:t>
            </w: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FFFFFF"/>
            </w:tcBorders>
            <w:vAlign w:val="center"/>
          </w:tcPr>
          <w:p w:rsidR="00301B66" w:rsidRPr="00827111" w:rsidRDefault="00301B66" w:rsidP="00301B66">
            <w:pPr>
              <w:spacing w:after="0" w:line="240" w:lineRule="auto"/>
              <w:jc w:val="right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LOW</w:t>
            </w:r>
          </w:p>
        </w:tc>
      </w:tr>
      <w:tr w:rsidR="00301B66" w:rsidRPr="00827111" w:rsidTr="00587AF5">
        <w:trPr>
          <w:cantSplit/>
          <w:trHeight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CATEGORY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827111">
              <w:rPr>
                <w:rFonts w:cstheme="minorHAnsi"/>
                <w:b/>
                <w:sz w:val="20"/>
              </w:rPr>
              <w:t>5</w:t>
            </w: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Clarity </w:t>
            </w:r>
            <w:r w:rsidRPr="00506E61">
              <w:rPr>
                <w:rFonts w:cstheme="minorHAnsi"/>
                <w:sz w:val="20"/>
              </w:rPr>
              <w:t>(including: organization</w:t>
            </w:r>
            <w:r>
              <w:rPr>
                <w:rFonts w:cstheme="minorHAnsi"/>
                <w:sz w:val="20"/>
              </w:rPr>
              <w:t>,</w:t>
            </w:r>
            <w:r w:rsidRPr="002C5C75">
              <w:rPr>
                <w:rFonts w:cstheme="minorHAnsi"/>
                <w:sz w:val="20"/>
              </w:rPr>
              <w:t xml:space="preserve"> clearly stated significance,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506E61">
              <w:rPr>
                <w:rFonts w:cstheme="minorHAnsi"/>
                <w:sz w:val="20"/>
              </w:rPr>
              <w:t>good pacing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506E61">
              <w:rPr>
                <w:rFonts w:cstheme="minorHAnsi"/>
                <w:b/>
                <w:sz w:val="20"/>
              </w:rPr>
              <w:t>Content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research design &amp; methods, clear conclusion, limitations)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EF4F25">
              <w:rPr>
                <w:rFonts w:cstheme="minorHAnsi"/>
                <w:b/>
                <w:sz w:val="20"/>
              </w:rPr>
              <w:t>Graphic Abstract</w:t>
            </w:r>
            <w:r>
              <w:rPr>
                <w:rFonts w:cstheme="minorHAnsi"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</w:rPr>
              <w:t>inc.</w:t>
            </w:r>
            <w:proofErr w:type="spellEnd"/>
            <w:r>
              <w:rPr>
                <w:rFonts w:cstheme="minorHAnsi"/>
                <w:sz w:val="20"/>
              </w:rPr>
              <w:t xml:space="preserve"> clear message, easy to understand, enhances talk)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01B66" w:rsidRPr="00827111" w:rsidTr="00587AF5">
        <w:trPr>
          <w:cantSplit/>
          <w:trHeight w:hRule="exact" w:val="360"/>
          <w:jc w:val="right"/>
        </w:trPr>
        <w:tc>
          <w:tcPr>
            <w:tcW w:w="6225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rPr>
                <w:rFonts w:cstheme="minorHAnsi"/>
                <w:sz w:val="20"/>
              </w:rPr>
            </w:pPr>
            <w:r w:rsidRPr="002C5C75">
              <w:rPr>
                <w:rFonts w:cstheme="minorHAnsi"/>
                <w:b/>
                <w:sz w:val="20"/>
              </w:rPr>
              <w:t>Question Answering</w:t>
            </w:r>
            <w:r>
              <w:rPr>
                <w:rFonts w:cstheme="minorHAnsi"/>
                <w:sz w:val="20"/>
              </w:rPr>
              <w:t xml:space="preserve"> (understands questions and thoroughly responds)</w:t>
            </w: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630" w:type="dxa"/>
            <w:vAlign w:val="center"/>
          </w:tcPr>
          <w:p w:rsidR="00301B66" w:rsidRPr="00827111" w:rsidRDefault="00301B66" w:rsidP="00301B6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301B66" w:rsidRDefault="00301B66" w:rsidP="00301B66"/>
    <w:p w:rsidR="00301B66" w:rsidRDefault="00301B66" w:rsidP="00301B66"/>
    <w:sectPr w:rsidR="00301B66" w:rsidSect="00301B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75"/>
    <w:rsid w:val="002C5C75"/>
    <w:rsid w:val="00301B66"/>
    <w:rsid w:val="00506E61"/>
    <w:rsid w:val="007C1B7B"/>
    <w:rsid w:val="007C5F22"/>
    <w:rsid w:val="00816240"/>
    <w:rsid w:val="00D7434D"/>
    <w:rsid w:val="00EF4F25"/>
    <w:rsid w:val="00F0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C86D6-2F30-42ED-A520-20FB76B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75"/>
  </w:style>
  <w:style w:type="paragraph" w:styleId="Heading1">
    <w:name w:val="heading 1"/>
    <w:basedOn w:val="Normal"/>
    <w:next w:val="Normal"/>
    <w:link w:val="Heading1Char"/>
    <w:uiPriority w:val="9"/>
    <w:qFormat/>
    <w:rsid w:val="002C5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Brudvik</dc:creator>
  <cp:keywords/>
  <dc:description/>
  <cp:lastModifiedBy>Kelli Tourand</cp:lastModifiedBy>
  <cp:revision>2</cp:revision>
  <dcterms:created xsi:type="dcterms:W3CDTF">2022-07-26T21:27:00Z</dcterms:created>
  <dcterms:modified xsi:type="dcterms:W3CDTF">2022-07-26T21:27:00Z</dcterms:modified>
</cp:coreProperties>
</file>