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University</w:t>
      </w:r>
      <w:r w:rsidDel="00000000" w:rsidR="00000000" w:rsidRPr="00000000">
        <w:rPr>
          <w:b w:val="1"/>
          <w:rtl w:val="0"/>
        </w:rPr>
        <w:t xml:space="preserve"> of Minnesota Medical School Statement Regarding Medical Student Away Rotations and Virtual Interviewing for Residency and Fellowship Programs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view of the interruptions in clinical education as a result of the COVID-19 pandemic, t</w:t>
      </w:r>
      <w:r w:rsidDel="00000000" w:rsidR="00000000" w:rsidRPr="00000000">
        <w:rPr>
          <w:rtl w:val="0"/>
        </w:rPr>
        <w:t xml:space="preserve">he Coalition for Physician Accountability, a cross-organizational group composed of AACOM, AAMC, ACCME, ACGME, AMA, AOGME, AOA, CMSS (OPDA), ECFMG, FSMB, LCME, NBME, and NBOME, recommended the following for the 2020-2021 academic year: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Away (“audition”) rotations for medical students be discouraged except for:</w:t>
      </w:r>
    </w:p>
    <w:p w:rsidR="00000000" w:rsidDel="00000000" w:rsidP="00000000" w:rsidRDefault="00000000" w:rsidRPr="00000000" w14:paraId="00000006">
      <w:pPr>
        <w:numPr>
          <w:ilvl w:val="1"/>
          <w:numId w:val="1"/>
        </w:numPr>
        <w:ind w:left="1440" w:hanging="360"/>
        <w:rPr>
          <w:sz w:val="20"/>
          <w:szCs w:val="20"/>
        </w:rPr>
      </w:pPr>
      <w:r w:rsidDel="00000000" w:rsidR="00000000" w:rsidRPr="00000000">
        <w:rPr>
          <w:sz w:val="20"/>
          <w:szCs w:val="20"/>
          <w:rtl w:val="0"/>
        </w:rPr>
        <w:t xml:space="preserve">Learners who have a specialty interest and do not have access to a clinical experience with a residency program in that specialty in their school’s system. </w:t>
      </w:r>
    </w:p>
    <w:p w:rsidR="00000000" w:rsidDel="00000000" w:rsidP="00000000" w:rsidRDefault="00000000" w:rsidRPr="00000000" w14:paraId="00000007">
      <w:pPr>
        <w:numPr>
          <w:ilvl w:val="1"/>
          <w:numId w:val="1"/>
        </w:numPr>
        <w:ind w:left="1440" w:hanging="360"/>
        <w:rPr>
          <w:sz w:val="20"/>
          <w:szCs w:val="20"/>
        </w:rPr>
      </w:pPr>
      <w:r w:rsidDel="00000000" w:rsidR="00000000" w:rsidRPr="00000000">
        <w:rPr>
          <w:sz w:val="20"/>
          <w:szCs w:val="20"/>
          <w:rtl w:val="0"/>
        </w:rPr>
        <w:t xml:space="preserve"> Learners for whom an away rotation is required for graduation or accreditation requirements. </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All programs commit to online interviews and virtual visits for all applicants, including local students, rather than in-person interviews for the entire cycle and that the medical education community commit to creating a robust digital environment and set of tools to yield the best experiences for programs and applicants.</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Delayed opening of ERAS for residency programs and a delayed release of the medical student performance evaluation (MSPE) and that the opening and release happen on the same day. This recommendation has already been implemented with the date changed to October 21, 2020.</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The University of Minnesota Medical School endorses these recommendations and pledges to follow the recommendations for all medical students; and for all residency and fellowship programs.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Signed,</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Bob Englander, MD, MPH, Associate Dean for Undergraduate Medical Education</w:t>
      </w:r>
    </w:p>
    <w:p w:rsidR="00000000" w:rsidDel="00000000" w:rsidP="00000000" w:rsidRDefault="00000000" w:rsidRPr="00000000" w14:paraId="00000010">
      <w:pPr>
        <w:ind w:left="0" w:firstLine="0"/>
        <w:rPr/>
      </w:pPr>
      <w:r w:rsidDel="00000000" w:rsidR="00000000" w:rsidRPr="00000000">
        <w:rPr>
          <w:rtl w:val="0"/>
        </w:rPr>
        <w:t xml:space="preserve">Susan Culican, MD, PhD, Associate Dean for Graduate Medical Education</w:t>
      </w:r>
    </w:p>
    <w:p w:rsidR="00000000" w:rsidDel="00000000" w:rsidP="00000000" w:rsidRDefault="00000000" w:rsidRPr="00000000" w14:paraId="00000011">
      <w:pPr>
        <w:ind w:left="0" w:firstLine="0"/>
        <w:rPr/>
      </w:pPr>
      <w:r w:rsidDel="00000000" w:rsidR="00000000" w:rsidRPr="00000000">
        <w:rPr>
          <w:rtl w:val="0"/>
        </w:rPr>
        <w:t xml:space="preserve">Robin Michaels, PhD, Associate Dean for Student Life and Academic Affairs</w:t>
      </w:r>
    </w:p>
    <w:p w:rsidR="00000000" w:rsidDel="00000000" w:rsidP="00000000" w:rsidRDefault="00000000" w:rsidRPr="00000000" w14:paraId="00000012">
      <w:pPr>
        <w:ind w:left="0" w:firstLine="0"/>
        <w:rPr/>
      </w:pPr>
      <w:r w:rsidDel="00000000" w:rsidR="00000000" w:rsidRPr="00000000">
        <w:rPr>
          <w:rtl w:val="0"/>
        </w:rPr>
        <w:t xml:space="preserve">Mark Rosenberg, MD, Vice Dean for Education and Academic Affairs</w:t>
      </w:r>
    </w:p>
    <w:p w:rsidR="00000000" w:rsidDel="00000000" w:rsidP="00000000" w:rsidRDefault="00000000" w:rsidRPr="00000000" w14:paraId="00000013">
      <w:pPr>
        <w:ind w:left="0" w:firstLine="0"/>
        <w:rPr/>
      </w:pPr>
      <w:r w:rsidDel="00000000" w:rsidR="00000000" w:rsidRPr="00000000">
        <w:rPr>
          <w:rtl w:val="0"/>
        </w:rPr>
        <w:t xml:space="preserve">Paula Termhulen, MD, Duluth Regional Campus Dean</w:t>
      </w:r>
    </w:p>
    <w:p w:rsidR="00000000" w:rsidDel="00000000" w:rsidP="00000000" w:rsidRDefault="00000000" w:rsidRPr="00000000" w14:paraId="00000014">
      <w:pPr>
        <w:ind w:left="0" w:firstLine="0"/>
        <w:rPr/>
      </w:pPr>
      <w:r w:rsidDel="00000000" w:rsidR="00000000" w:rsidRPr="00000000">
        <w:rPr>
          <w:rtl w:val="0"/>
        </w:rPr>
        <w:t xml:space="preserve">Jakub Tolar, MD, PhD, Dean of the Medical School. And Vice President for Clinical Affairs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